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C1" w:rsidRPr="008D1140" w:rsidRDefault="008A26C1" w:rsidP="008A26C1">
      <w:pPr>
        <w:spacing w:after="120" w:line="240" w:lineRule="auto"/>
        <w:jc w:val="center"/>
      </w:pPr>
      <w:r w:rsidRPr="008D1140">
        <w:rPr>
          <w:b/>
          <w:sz w:val="28"/>
          <w:szCs w:val="28"/>
        </w:rPr>
        <w:t>Formulario de requisitos para proyectos acuícolas</w:t>
      </w:r>
    </w:p>
    <w:p w:rsidR="008A26C1" w:rsidRPr="008D1140" w:rsidRDefault="008A26C1" w:rsidP="008A26C1">
      <w:pPr>
        <w:spacing w:after="0" w:line="240" w:lineRule="auto"/>
        <w:jc w:val="center"/>
        <w:rPr>
          <w:b/>
          <w:sz w:val="24"/>
          <w:szCs w:val="24"/>
        </w:rPr>
      </w:pPr>
      <w:r w:rsidRPr="008D1140">
        <w:rPr>
          <w:b/>
          <w:sz w:val="24"/>
          <w:szCs w:val="24"/>
        </w:rPr>
        <w:t>Requisitos para solicitud de establecimiento de proyectos piscícolas.</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Nota de manifiesto de interés para establecer el proyecto acuícola en el Distrito de Riego Arenal Tempisque, incluyendo entre otros; certificación de Personería Jurídica o documento de identidad, medios para localización y notificación: teléfono, dirección exacta y correo electrónico.</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Ubicación: provincia, cantón, distrito y coordenadas geográficas.</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Área del proyecto: incluyendo un croquis indicando áreas correspondientes para cada tipo infraestructura (caminos, instalaciones administrativas bodegas, piletas, así como cualquier otro tipo de estructuras o instalaciones que se requieran para el desarrollo del proyecto).</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Certificación de la inscripción de la finca ante el Registro Nacional y plano catastral certificado.</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Área de espejo de agua</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 xml:space="preserve">Tipo de desarrollo: indicar si es intensivo o </w:t>
      </w:r>
      <w:proofErr w:type="spellStart"/>
      <w:r w:rsidRPr="008D1140">
        <w:t>semi</w:t>
      </w:r>
      <w:proofErr w:type="spellEnd"/>
      <w:r w:rsidRPr="008D1140">
        <w:t>-intensivo u otro tipo especificando cual.  Especie a producir o desarrollar.</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Caudal requerido y estimación de caudal de retorno.</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Fuente alterna: indicar cuál es la fuente alterna de agua y los permisos para la utilización de esta.</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Ubicación de entradas y salidas: indicar en un plano la ubicación de las entradas y salidas de agua del proyecto, así como las coordenadas geográficas donde se ubicaran.  Se debe indicar claramente en un plano la ubicación de los puntos de retorno hacia la red de riego de SENARA.</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 xml:space="preserve">Ubicación de sitio de descarga de excedencia: Se debe indicar el sitio con coordenada geográfica en el cual se harán las descargas de los caudales que exceden las demandas agrícolas bajo las circunstancias contempladas en este reglamento. </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Estructuras y/o equipos de medición para entradas y salidas: presentar en un plano la ubicación de las entradas y salidas indicando coordenadas geográficas, así como una descripción detallada del equipo a utilizar y la exactitud del mismo para la medición.</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Plan de operación: descripción detallada del medio de operación (requerimientos hídricos, distribución interna entre otros)</w:t>
      </w:r>
    </w:p>
    <w:p w:rsidR="008A26C1" w:rsidRPr="008D1140" w:rsidRDefault="008A26C1" w:rsidP="008A26C1">
      <w:pPr>
        <w:shd w:val="clear" w:color="auto" w:fill="FFFFFF" w:themeFill="background1"/>
        <w:spacing w:after="0" w:line="240" w:lineRule="auto"/>
        <w:jc w:val="both"/>
      </w:pPr>
    </w:p>
    <w:p w:rsidR="008A26C1" w:rsidRPr="008D1140" w:rsidRDefault="008A26C1" w:rsidP="008A26C1">
      <w:pPr>
        <w:shd w:val="clear" w:color="auto" w:fill="FFFFFF" w:themeFill="background1"/>
        <w:spacing w:after="0" w:line="240" w:lineRule="auto"/>
        <w:jc w:val="both"/>
        <w:rPr>
          <w:color w:val="FF0000"/>
        </w:rPr>
      </w:pPr>
      <w:r w:rsidRPr="008D1140">
        <w:t xml:space="preserve">Plan de contingencias: Presentar el detalle de la forma como el piscicultor atenderá los periodos de no suplencia de aguas a su proyecto, en los momentos en que SENARA por labores de mantenimiento, reparaciones u otros motivos de fuerza mayor no se le pueda entregar el agua. </w:t>
      </w:r>
    </w:p>
    <w:p w:rsidR="008A26C1" w:rsidRPr="008D1140" w:rsidRDefault="008A26C1" w:rsidP="008A26C1">
      <w:pPr>
        <w:spacing w:after="0" w:line="240" w:lineRule="auto"/>
        <w:jc w:val="both"/>
      </w:pPr>
    </w:p>
    <w:p w:rsidR="008A26C1" w:rsidRPr="008D1140" w:rsidRDefault="008A26C1" w:rsidP="008A26C1">
      <w:pPr>
        <w:spacing w:after="0" w:line="240" w:lineRule="auto"/>
        <w:jc w:val="both"/>
      </w:pPr>
      <w:r w:rsidRPr="008D1140">
        <w:t>Plan de monitoreo de calidad de aguas: Este plan debe ser acorde a la legislación vigente en materia de vertidos y clasificación de cuerpos de aguas.</w:t>
      </w:r>
    </w:p>
    <w:p w:rsidR="008A26C1" w:rsidRPr="008D1140" w:rsidRDefault="008A26C1" w:rsidP="008A26C1">
      <w:pPr>
        <w:spacing w:after="0" w:line="240" w:lineRule="auto"/>
        <w:jc w:val="both"/>
      </w:pPr>
    </w:p>
    <w:p w:rsidR="00C92B6B" w:rsidRDefault="008A26C1" w:rsidP="008A26C1">
      <w:pPr>
        <w:spacing w:after="0" w:line="240" w:lineRule="auto"/>
        <w:jc w:val="both"/>
      </w:pPr>
      <w:r w:rsidRPr="008D1140">
        <w:rPr>
          <w:b/>
        </w:rPr>
        <w:t>Permisos</w:t>
      </w:r>
      <w:r w:rsidRPr="008D1140">
        <w:t>: SETENA, Ministerio de Salud Pública, SENASA y Municipales.</w:t>
      </w:r>
    </w:p>
    <w:sectPr w:rsidR="00C92B6B" w:rsidSect="0032394E">
      <w:headerReference w:type="even" r:id="rId7"/>
      <w:headerReference w:type="default" r:id="rId8"/>
      <w:footerReference w:type="even" r:id="rId9"/>
      <w:footerReference w:type="default" r:id="rId10"/>
      <w:headerReference w:type="first" r:id="rId11"/>
      <w:footerReference w:type="first" r:id="rId12"/>
      <w:pgSz w:w="12240" w:h="15840"/>
      <w:pgMar w:top="1627" w:right="1183"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7D" w:rsidRDefault="00F3167D" w:rsidP="00F3167D">
      <w:pPr>
        <w:spacing w:after="0" w:line="240" w:lineRule="auto"/>
      </w:pPr>
      <w:r>
        <w:separator/>
      </w:r>
    </w:p>
  </w:endnote>
  <w:endnote w:type="continuationSeparator" w:id="0">
    <w:p w:rsidR="00F3167D" w:rsidRDefault="00F3167D" w:rsidP="00F3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7D" w:rsidRDefault="00F316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7D" w:rsidRDefault="00F316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7D" w:rsidRDefault="00F316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7D" w:rsidRDefault="00F3167D" w:rsidP="00F3167D">
      <w:pPr>
        <w:spacing w:after="0" w:line="240" w:lineRule="auto"/>
      </w:pPr>
      <w:r>
        <w:separator/>
      </w:r>
    </w:p>
  </w:footnote>
  <w:footnote w:type="continuationSeparator" w:id="0">
    <w:p w:rsidR="00F3167D" w:rsidRDefault="00F3167D" w:rsidP="00F31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7D" w:rsidRDefault="00F31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D9" w:rsidRDefault="00F3167D" w:rsidP="008D1140">
    <w:pPr>
      <w:pStyle w:val="Encabezado"/>
    </w:pPr>
    <w:bookmarkStart w:id="0" w:name="_GoBack"/>
    <w:r>
      <w:rPr>
        <w:noProof/>
        <w:lang w:eastAsia="es-CR"/>
      </w:rPr>
      <w:drawing>
        <wp:inline distT="0" distB="0" distL="0" distR="0" wp14:anchorId="67AC5EE9" wp14:editId="5AC20FA6">
          <wp:extent cx="1511935" cy="652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52145"/>
                  </a:xfrm>
                  <a:prstGeom prst="rect">
                    <a:avLst/>
                  </a:prstGeom>
                  <a:noFill/>
                </pic:spPr>
              </pic:pic>
            </a:graphicData>
          </a:graphic>
        </wp:inline>
      </w:drawing>
    </w:r>
    <w:r>
      <w:rPr>
        <w:noProof/>
        <w:lang w:eastAsia="es-CR"/>
      </w:rPr>
      <w:drawing>
        <wp:anchor distT="0" distB="0" distL="114300" distR="114300" simplePos="0" relativeHeight="251659264" behindDoc="0" locked="0" layoutInCell="1" allowOverlap="1" wp14:anchorId="61DF2892" wp14:editId="49245E00">
          <wp:simplePos x="0" y="0"/>
          <wp:positionH relativeFrom="column">
            <wp:posOffset>5168265</wp:posOffset>
          </wp:positionH>
          <wp:positionV relativeFrom="paragraph">
            <wp:posOffset>-163830</wp:posOffset>
          </wp:positionV>
          <wp:extent cx="756285" cy="780415"/>
          <wp:effectExtent l="0" t="0" r="571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80415"/>
                  </a:xfrm>
                  <a:prstGeom prst="rect">
                    <a:avLst/>
                  </a:prstGeom>
                  <a:noFill/>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7D" w:rsidRDefault="00F31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C1"/>
    <w:rsid w:val="00034D11"/>
    <w:rsid w:val="005A0F9E"/>
    <w:rsid w:val="008A2262"/>
    <w:rsid w:val="008A26C1"/>
    <w:rsid w:val="00F316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6C1"/>
  </w:style>
  <w:style w:type="paragraph" w:styleId="Textodeglobo">
    <w:name w:val="Balloon Text"/>
    <w:basedOn w:val="Normal"/>
    <w:link w:val="TextodegloboCar"/>
    <w:uiPriority w:val="99"/>
    <w:semiHidden/>
    <w:unhideWhenUsed/>
    <w:rsid w:val="008A2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6C1"/>
    <w:rPr>
      <w:rFonts w:ascii="Tahoma" w:hAnsi="Tahoma" w:cs="Tahoma"/>
      <w:sz w:val="16"/>
      <w:szCs w:val="16"/>
    </w:rPr>
  </w:style>
  <w:style w:type="paragraph" w:styleId="Piedepgina">
    <w:name w:val="footer"/>
    <w:basedOn w:val="Normal"/>
    <w:link w:val="PiedepginaCar"/>
    <w:uiPriority w:val="99"/>
    <w:unhideWhenUsed/>
    <w:rsid w:val="00F31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6C1"/>
  </w:style>
  <w:style w:type="paragraph" w:styleId="Textodeglobo">
    <w:name w:val="Balloon Text"/>
    <w:basedOn w:val="Normal"/>
    <w:link w:val="TextodegloboCar"/>
    <w:uiPriority w:val="99"/>
    <w:semiHidden/>
    <w:unhideWhenUsed/>
    <w:rsid w:val="008A2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6C1"/>
    <w:rPr>
      <w:rFonts w:ascii="Tahoma" w:hAnsi="Tahoma" w:cs="Tahoma"/>
      <w:sz w:val="16"/>
      <w:szCs w:val="16"/>
    </w:rPr>
  </w:style>
  <w:style w:type="paragraph" w:styleId="Piedepgina">
    <w:name w:val="footer"/>
    <w:basedOn w:val="Normal"/>
    <w:link w:val="PiedepginaCar"/>
    <w:uiPriority w:val="99"/>
    <w:unhideWhenUsed/>
    <w:rsid w:val="00F31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Pineda</dc:creator>
  <cp:lastModifiedBy>Nora Pineda</cp:lastModifiedBy>
  <cp:revision>2</cp:revision>
  <dcterms:created xsi:type="dcterms:W3CDTF">2023-07-31T15:14:00Z</dcterms:created>
  <dcterms:modified xsi:type="dcterms:W3CDTF">2023-07-31T15:16:00Z</dcterms:modified>
</cp:coreProperties>
</file>